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P22WedgeW00-Italic" w:cs="P22WedgeW00-Italic" w:hAnsi="P22WedgeW00-Italic" w:eastAsia="P22WedgeW00-Italic"/>
          <w:sz w:val="36"/>
          <w:szCs w:val="36"/>
          <w:shd w:val="clear" w:color="auto" w:fill="ffffff"/>
          <w:rtl w:val="0"/>
        </w:rPr>
      </w:pPr>
      <w:r>
        <w:rPr>
          <w:rFonts w:ascii="P22WedgeW00-Italic" w:hAnsi="P22WedgeW00-Italic"/>
          <w:sz w:val="36"/>
          <w:szCs w:val="36"/>
          <w:shd w:val="clear" w:color="auto" w:fill="ffffff"/>
          <w:rtl w:val="0"/>
          <w:lang w:val="en-US"/>
        </w:rPr>
        <w:t>Feminist Ethics and Social Theory (FEAST) Conference</w:t>
      </w:r>
      <w:r>
        <w:rPr>
          <w:rFonts w:ascii="P22WedgeW00-Italic" w:cs="P22WedgeW00-Italic" w:hAnsi="P22WedgeW00-Italic" w:eastAsia="P22WedgeW00-Italic"/>
          <w:sz w:val="36"/>
          <w:szCs w:val="36"/>
          <w:shd w:val="clear" w:color="auto" w:fill="ffffff"/>
          <w:rtl w:val="0"/>
        </w:rPr>
        <mc:AlternateContent>
          <mc:Choice Requires="wps">
            <w:drawing>
              <wp:anchor distT="152400" distB="152400" distL="152400" distR="152400" simplePos="0" relativeHeight="251659264" behindDoc="0" locked="0" layoutInCell="1" allowOverlap="1">
                <wp:simplePos x="0" y="0"/>
                <wp:positionH relativeFrom="margin">
                  <wp:posOffset>174684</wp:posOffset>
                </wp:positionH>
                <wp:positionV relativeFrom="page">
                  <wp:posOffset>457795</wp:posOffset>
                </wp:positionV>
                <wp:extent cx="6038732" cy="98679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038732" cy="986790"/>
                        </a:xfrm>
                        <a:prstGeom prst="rect">
                          <a:avLst/>
                        </a:prstGeom>
                        <a:gradFill flip="none" rotWithShape="1">
                          <a:gsLst>
                            <a:gs pos="0">
                              <a:schemeClr val="accent6">
                                <a:satOff val="18029"/>
                                <a:lumOff val="12067"/>
                              </a:schemeClr>
                            </a:gs>
                            <a:gs pos="100000">
                              <a:schemeClr val="accent5">
                                <a:hueOff val="-152896"/>
                                <a:lumOff val="12368"/>
                              </a:schemeClr>
                            </a:gs>
                          </a:gsLst>
                          <a:lin ang="5400000" scaled="0"/>
                        </a:gradFill>
                        <a:ln w="12700" cap="flat">
                          <a:noFill/>
                          <a:miter lim="400000"/>
                        </a:ln>
                        <a:effectLst/>
                      </wps:spPr>
                      <wps:txbx>
                        <w:txbxContent>
                          <w:p>
                            <w:pPr>
                              <w:pStyle w:val="Default"/>
                              <w:bidi w:val="0"/>
                              <w:ind w:left="0" w:right="0" w:firstLine="0"/>
                              <w:jc w:val="center"/>
                              <w:rPr>
                                <w:rFonts w:ascii="P22WedgeW00-Bold" w:cs="P22WedgeW00-Bold" w:hAnsi="P22WedgeW00-Bold" w:eastAsia="P22WedgeW00-Bold"/>
                                <w:sz w:val="40"/>
                                <w:szCs w:val="40"/>
                                <w:rtl w:val="0"/>
                              </w:rPr>
                            </w:pPr>
                            <w:r>
                              <w:rPr>
                                <w:rFonts w:ascii="P22WedgeW00-Bold" w:hAnsi="P22WedgeW00-Bold"/>
                                <w:sz w:val="40"/>
                                <w:szCs w:val="40"/>
                                <w:rtl w:val="0"/>
                                <w:lang w:val="en-US"/>
                              </w:rPr>
                              <w:t>2019</w:t>
                            </w:r>
                            <w:r>
                              <w:rPr>
                                <w:rFonts w:ascii="P22WedgeW00-Bold" w:hAnsi="P22WedgeW00-Bold"/>
                                <w:sz w:val="40"/>
                                <w:szCs w:val="40"/>
                                <w:rtl w:val="0"/>
                                <w:lang w:val="en-US"/>
                              </w:rPr>
                              <w:t xml:space="preserve"> Accessibility Guidelines</w:t>
                            </w:r>
                          </w:p>
                          <w:p>
                            <w:pPr>
                              <w:pStyle w:val="Default"/>
                              <w:bidi w:val="0"/>
                              <w:spacing w:after="240"/>
                              <w:ind w:left="0" w:right="0" w:firstLine="0"/>
                              <w:jc w:val="center"/>
                              <w:rPr>
                                <w:rtl w:val="0"/>
                              </w:rPr>
                            </w:pPr>
                            <w:r>
                              <w:rPr>
                                <w:rFonts w:ascii="P22WedgeW00-Regular" w:hAnsi="P22WedgeW00-Regular"/>
                                <w:sz w:val="24"/>
                                <w:szCs w:val="24"/>
                                <w:rtl w:val="0"/>
                              </w:rPr>
                              <w:t>(</w:t>
                            </w:r>
                            <w:r>
                              <w:rPr>
                                <w:rFonts w:ascii="P22WedgeW00-Regular" w:hAnsi="P22WedgeW00-Regular"/>
                                <w:sz w:val="24"/>
                                <w:szCs w:val="24"/>
                                <w:rtl w:val="0"/>
                                <w:lang w:val="en-US"/>
                              </w:rPr>
                              <w:t>Working Document: July 2019</w:t>
                            </w:r>
                            <w:r>
                              <w:rPr>
                                <w:rFonts w:ascii="P22WedgeW00-Regular" w:hAnsi="P22WedgeW00-Regular"/>
                                <w:sz w:val="24"/>
                                <w:szCs w:val="24"/>
                                <w:rtl w:val="0"/>
                              </w:rPr>
                              <w:t xml:space="preserve">) </w:t>
                            </w:r>
                          </w:p>
                        </w:txbxContent>
                      </wps:txbx>
                      <wps:bodyPr wrap="square" lIns="101600" tIns="101600" rIns="101600" bIns="101600" numCol="1" anchor="ctr">
                        <a:noAutofit/>
                      </wps:bodyPr>
                    </wps:wsp>
                  </a:graphicData>
                </a:graphic>
              </wp:anchor>
            </w:drawing>
          </mc:Choice>
          <mc:Fallback>
            <w:pict>
              <v:rect id="_x0000_s1026" style="visibility:visible;position:absolute;margin-left:13.8pt;margin-top:36.0pt;width:475.5pt;height:77.7pt;z-index:251659264;mso-position-horizontal:absolute;mso-position-horizontal-relative:margin;mso-position-vertical:absolute;mso-position-vertical-relative:page;mso-wrap-distance-left:12.0pt;mso-wrap-distance-top:12.0pt;mso-wrap-distance-right:12.0pt;mso-wrap-distance-bottom:12.0pt;">
                <v:fill angle="0fd" focus="100%" color="#FF8DC6" opacity="100.0%" color2="#FF968D"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Default"/>
                        <w:bidi w:val="0"/>
                        <w:ind w:left="0" w:right="0" w:firstLine="0"/>
                        <w:jc w:val="center"/>
                        <w:rPr>
                          <w:rFonts w:ascii="P22WedgeW00-Bold" w:cs="P22WedgeW00-Bold" w:hAnsi="P22WedgeW00-Bold" w:eastAsia="P22WedgeW00-Bold"/>
                          <w:sz w:val="40"/>
                          <w:szCs w:val="40"/>
                          <w:rtl w:val="0"/>
                        </w:rPr>
                      </w:pPr>
                      <w:r>
                        <w:rPr>
                          <w:rFonts w:ascii="P22WedgeW00-Bold" w:hAnsi="P22WedgeW00-Bold"/>
                          <w:sz w:val="40"/>
                          <w:szCs w:val="40"/>
                          <w:rtl w:val="0"/>
                          <w:lang w:val="en-US"/>
                        </w:rPr>
                        <w:t>2019</w:t>
                      </w:r>
                      <w:r>
                        <w:rPr>
                          <w:rFonts w:ascii="P22WedgeW00-Bold" w:hAnsi="P22WedgeW00-Bold"/>
                          <w:sz w:val="40"/>
                          <w:szCs w:val="40"/>
                          <w:rtl w:val="0"/>
                          <w:lang w:val="en-US"/>
                        </w:rPr>
                        <w:t xml:space="preserve"> Accessibility Guidelines</w:t>
                      </w:r>
                    </w:p>
                    <w:p>
                      <w:pPr>
                        <w:pStyle w:val="Default"/>
                        <w:bidi w:val="0"/>
                        <w:spacing w:after="240"/>
                        <w:ind w:left="0" w:right="0" w:firstLine="0"/>
                        <w:jc w:val="center"/>
                        <w:rPr>
                          <w:rtl w:val="0"/>
                        </w:rPr>
                      </w:pPr>
                      <w:r>
                        <w:rPr>
                          <w:rFonts w:ascii="P22WedgeW00-Regular" w:hAnsi="P22WedgeW00-Regular"/>
                          <w:sz w:val="24"/>
                          <w:szCs w:val="24"/>
                          <w:rtl w:val="0"/>
                        </w:rPr>
                        <w:t>(</w:t>
                      </w:r>
                      <w:r>
                        <w:rPr>
                          <w:rFonts w:ascii="P22WedgeW00-Regular" w:hAnsi="P22WedgeW00-Regular"/>
                          <w:sz w:val="24"/>
                          <w:szCs w:val="24"/>
                          <w:rtl w:val="0"/>
                          <w:lang w:val="en-US"/>
                        </w:rPr>
                        <w:t>Working Document: July 2019</w:t>
                      </w:r>
                      <w:r>
                        <w:rPr>
                          <w:rFonts w:ascii="P22WedgeW00-Regular" w:hAnsi="P22WedgeW00-Regular"/>
                          <w:sz w:val="24"/>
                          <w:szCs w:val="24"/>
                          <w:rtl w:val="0"/>
                        </w:rPr>
                        <w:t xml:space="preserve">) </w:t>
                      </w:r>
                    </w:p>
                  </w:txbxContent>
                </v:textbox>
                <w10:wrap type="topAndBottom" side="bothSides" anchorx="margin" anchory="page"/>
              </v:rect>
            </w:pict>
          </mc:Fallback>
        </mc:AlternateContent>
      </w:r>
      <w:r>
        <w:rPr>
          <w:rFonts w:ascii="P22WedgeW00-Italic" w:hAnsi="P22WedgeW00-Italic"/>
          <w:sz w:val="36"/>
          <w:szCs w:val="36"/>
          <w:shd w:val="clear" w:color="auto" w:fill="ffffff"/>
          <w:rtl w:val="0"/>
        </w:rPr>
        <w:t xml:space="preserve"> </w:t>
      </w:r>
      <w:r>
        <w:rPr>
          <w:rFonts w:ascii="Arial Unicode MS" w:cs="Arial Unicode MS" w:hAnsi="Arial Unicode MS" w:eastAsia="Arial Unicode MS"/>
          <w:b w:val="0"/>
          <w:bCs w:val="0"/>
          <w:i w:val="0"/>
          <w:iCs w:val="0"/>
          <w:sz w:val="36"/>
          <w:szCs w:val="36"/>
          <w:shd w:val="clear" w:color="auto" w:fill="ffffff"/>
          <w:rtl w:val="0"/>
        </w:rPr>
        <w:br w:type="textWrapping"/>
      </w:r>
      <w:r>
        <w:rPr>
          <w:rFonts w:ascii="P22WedgeW00-Italic" w:hAnsi="P22WedgeW00-Italic"/>
          <w:sz w:val="36"/>
          <w:szCs w:val="36"/>
          <w:shd w:val="clear" w:color="auto" w:fill="ffffff"/>
          <w:rtl w:val="0"/>
          <w:lang w:val="en-US"/>
        </w:rPr>
        <w:t xml:space="preserve">October </w:t>
      </w:r>
      <w:r>
        <w:rPr>
          <w:rFonts w:ascii="P22WedgeW00-Italic" w:hAnsi="P22WedgeW00-Italic"/>
          <w:sz w:val="36"/>
          <w:szCs w:val="36"/>
          <w:shd w:val="clear" w:color="auto" w:fill="ffffff"/>
          <w:rtl w:val="0"/>
          <w:lang w:val="en-US"/>
        </w:rPr>
        <w:t>3</w:t>
      </w:r>
      <w:r>
        <w:rPr>
          <w:rFonts w:ascii="P22WedgeW00-Italic" w:hAnsi="P22WedgeW00-Italic"/>
          <w:sz w:val="36"/>
          <w:szCs w:val="36"/>
          <w:shd w:val="clear" w:color="auto" w:fill="ffffff"/>
          <w:rtl w:val="0"/>
        </w:rPr>
        <w:t>-</w:t>
      </w:r>
      <w:r>
        <w:rPr>
          <w:rFonts w:ascii="P22WedgeW00-Italic" w:hAnsi="P22WedgeW00-Italic"/>
          <w:sz w:val="36"/>
          <w:szCs w:val="36"/>
          <w:shd w:val="clear" w:color="auto" w:fill="ffffff"/>
          <w:rtl w:val="0"/>
          <w:lang w:val="en-US"/>
        </w:rPr>
        <w:t>6</w:t>
      </w:r>
      <w:r>
        <w:rPr>
          <w:rFonts w:ascii="P22WedgeW00-Italic" w:hAnsi="P22WedgeW00-Italic"/>
          <w:sz w:val="36"/>
          <w:szCs w:val="36"/>
          <w:shd w:val="clear" w:color="auto" w:fill="ffffff"/>
          <w:rtl w:val="0"/>
        </w:rPr>
        <w:t>, 201</w:t>
      </w:r>
      <w:r>
        <w:rPr>
          <w:rFonts w:ascii="P22WedgeW00-Italic" w:hAnsi="P22WedgeW00-Italic"/>
          <w:sz w:val="36"/>
          <w:szCs w:val="36"/>
          <w:shd w:val="clear" w:color="auto" w:fill="ffffff"/>
          <w:rtl w:val="0"/>
          <w:lang w:val="en-US"/>
        </w:rPr>
        <w:t>9</w:t>
      </w:r>
      <w:r>
        <w:rPr>
          <w:rFonts w:ascii="P22WedgeW00-Italic" w:hAnsi="P22WedgeW00-Italic"/>
          <w:sz w:val="36"/>
          <w:szCs w:val="36"/>
          <w:shd w:val="clear" w:color="auto" w:fill="ffffff"/>
          <w:rtl w:val="0"/>
        </w:rPr>
        <w:t xml:space="preserve"> </w:t>
      </w:r>
    </w:p>
    <w:p>
      <w:pPr>
        <w:pStyle w:val="Default"/>
        <w:bidi w:val="0"/>
        <w:ind w:left="0" w:right="0" w:firstLine="0"/>
        <w:jc w:val="center"/>
        <w:rPr>
          <w:rFonts w:ascii="P22WedgeW00-Italic" w:cs="P22WedgeW00-Italic" w:hAnsi="P22WedgeW00-Italic" w:eastAsia="P22WedgeW00-Italic"/>
          <w:sz w:val="36"/>
          <w:szCs w:val="36"/>
          <w:shd w:val="clear" w:color="auto" w:fill="ffffff"/>
          <w:rtl w:val="0"/>
        </w:rPr>
      </w:pPr>
      <w:r>
        <w:rPr>
          <w:rFonts w:ascii="P22WedgeW00-Italic" w:hAnsi="P22WedgeW00-Italic"/>
          <w:sz w:val="36"/>
          <w:szCs w:val="36"/>
          <w:shd w:val="clear" w:color="auto" w:fill="ffffff"/>
          <w:rtl w:val="0"/>
          <w:lang w:val="en-US"/>
        </w:rPr>
        <w:t>at Sheraton Sand Key Resort in Clearwater, FL</w:t>
      </w:r>
    </w:p>
    <w:p>
      <w:pPr>
        <w:pStyle w:val="Default"/>
        <w:bidi w:val="0"/>
        <w:ind w:left="0" w:right="0" w:firstLine="0"/>
        <w:jc w:val="center"/>
        <w:rPr>
          <w:rFonts w:ascii="P22WedgeW00-Regular" w:cs="P22WedgeW00-Regular" w:hAnsi="P22WedgeW00-Regular" w:eastAsia="P22WedgeW00-Regular"/>
          <w:sz w:val="26"/>
          <w:szCs w:val="26"/>
          <w:shd w:val="clear" w:color="auto" w:fill="ffffff"/>
          <w:rtl w:val="0"/>
        </w:rPr>
      </w:pPr>
    </w:p>
    <w:p>
      <w:pPr>
        <w:pStyle w:val="Default"/>
        <w:bidi w:val="0"/>
        <w:ind w:left="0" w:right="0" w:firstLine="0"/>
        <w:jc w:val="center"/>
        <w:rPr>
          <w:rFonts w:ascii="P22WedgeW00-Regular" w:cs="P22WedgeW00-Regular" w:hAnsi="P22WedgeW00-Regular" w:eastAsia="P22WedgeW00-Regular"/>
          <w:sz w:val="26"/>
          <w:szCs w:val="26"/>
          <w:shd w:val="clear" w:color="auto" w:fill="ffffff"/>
          <w:rtl w:val="0"/>
        </w:rPr>
      </w:pPr>
    </w:p>
    <w:p>
      <w:pPr>
        <w:pStyle w:val="Default"/>
        <w:bidi w:val="0"/>
        <w:ind w:left="0" w:right="0" w:firstLine="0"/>
        <w:jc w:val="left"/>
        <w:rPr>
          <w:rFonts w:ascii="P22WedgeW00-Bold" w:cs="P22WedgeW00-Bold" w:hAnsi="P22WedgeW00-Bold" w:eastAsia="P22WedgeW00-Bold"/>
          <w:sz w:val="36"/>
          <w:szCs w:val="36"/>
          <w:shd w:val="clear" w:color="auto" w:fill="ffffff"/>
          <w:rtl w:val="0"/>
        </w:rPr>
      </w:pPr>
      <w:r>
        <w:rPr>
          <w:rFonts w:ascii="P22WedgeW00-Bold" w:hAnsi="P22WedgeW00-Bold"/>
          <w:sz w:val="36"/>
          <w:szCs w:val="36"/>
          <w:shd w:val="clear" w:color="auto" w:fill="ffffff"/>
          <w:rtl w:val="0"/>
          <w:lang w:val="en-US"/>
        </w:rPr>
        <w:t>Transportation:</w:t>
      </w:r>
    </w:p>
    <w:p>
      <w:pPr>
        <w:pStyle w:val="Default"/>
        <w:bidi w:val="0"/>
        <w:ind w:left="0" w:right="0" w:firstLine="0"/>
        <w:jc w:val="left"/>
        <w:rPr>
          <w:rFonts w:ascii="P22WedgeW00-Bold" w:cs="P22WedgeW00-Bold" w:hAnsi="P22WedgeW00-Bold" w:eastAsia="P22WedgeW00-Bold"/>
          <w:sz w:val="36"/>
          <w:szCs w:val="36"/>
          <w:shd w:val="clear" w:color="auto" w:fill="ffffff"/>
          <w:rtl w:val="0"/>
        </w:rPr>
      </w:pPr>
      <w:r>
        <w:rPr>
          <w:rFonts w:ascii="P22WedgeW00-Regular" w:hAnsi="P22WedgeW00-Regular"/>
          <w:sz w:val="36"/>
          <w:szCs w:val="36"/>
          <w:shd w:val="clear" w:color="auto" w:fill="ffffff"/>
          <w:rtl w:val="0"/>
          <w:lang w:val="en-US"/>
        </w:rPr>
        <w:t xml:space="preserve">Supershuttle, a shared van service, offers round-trip rides from/to Tampa International Airport (TPA) to the conference hotel for $27.65 per person for a shared ride or $61.85 for a direct ride for up to 3 passengers (not including gratuity). Supershuttle offers round trip direct rides from the Clearwater/St. Petersburg airport (PIE) to the conference hotel for $127.40 for up to 3 passengers. It is possible to make a reservation on-line at </w:t>
      </w:r>
      <w:r>
        <w:rPr>
          <w:rFonts w:ascii="P22WedgeW00-Italic" w:hAnsi="P22WedgeW00-Italic"/>
          <w:sz w:val="36"/>
          <w:szCs w:val="36"/>
          <w:u w:val="single"/>
          <w:shd w:val="clear" w:color="auto" w:fill="ffffff"/>
          <w:rtl w:val="0"/>
          <w:lang w:val="en-US"/>
        </w:rPr>
        <w:t>https://booking.supershuttle.com/</w:t>
      </w:r>
      <w:r>
        <w:rPr>
          <w:rFonts w:ascii="P22WedgeW00-Regular" w:hAnsi="P22WedgeW00-Regular"/>
          <w:sz w:val="36"/>
          <w:szCs w:val="36"/>
          <w:shd w:val="clear" w:color="auto" w:fill="ffffff"/>
          <w:rtl w:val="0"/>
          <w:lang w:val="en-US"/>
        </w:rPr>
        <w:t>. Wheelchair-accessible vans are available, and there is an option to request this on-line. If you plan to have Supershuttle transport a manual wheelchair, and you do not need a wheelchair lift, I would recommend calling 1-800-BLUE-VAN to convey this information.</w:t>
      </w:r>
      <w:r>
        <w:rPr>
          <w:rFonts w:ascii="P22WedgeW00-Bold" w:hAnsi="P22WedgeW00-Bold"/>
          <w:sz w:val="36"/>
          <w:szCs w:val="36"/>
          <w:shd w:val="clear" w:color="auto" w:fill="ffffff"/>
          <w:rtl w:val="0"/>
        </w:rPr>
        <w:t xml:space="preserve">  </w:t>
      </w:r>
    </w:p>
    <w:p>
      <w:pPr>
        <w:pStyle w:val="Default"/>
        <w:bidi w:val="0"/>
        <w:ind w:left="0" w:right="0" w:firstLine="0"/>
        <w:jc w:val="left"/>
        <w:rPr>
          <w:rFonts w:ascii="P22WedgeW00-Bold" w:cs="P22WedgeW00-Bold" w:hAnsi="P22WedgeW00-Bold" w:eastAsia="P22WedgeW00-Bold"/>
          <w:sz w:val="36"/>
          <w:szCs w:val="36"/>
          <w:shd w:val="clear" w:color="auto" w:fill="ffffff"/>
          <w:rtl w:val="0"/>
        </w:rPr>
      </w:pP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r>
        <w:rPr>
          <w:rFonts w:ascii="P22WedgeW00-Italic" w:hAnsi="P22WedgeW00-Italic"/>
          <w:sz w:val="36"/>
          <w:szCs w:val="36"/>
          <w:shd w:val="clear" w:color="auto" w:fill="ffffff"/>
          <w:rtl w:val="0"/>
          <w:lang w:val="sv-SE"/>
        </w:rPr>
        <w:t>Lyft</w:t>
      </w:r>
      <w:r>
        <w:rPr>
          <w:rFonts w:ascii="P22WedgeW00-Regular" w:hAnsi="P22WedgeW00-Regular"/>
          <w:sz w:val="36"/>
          <w:szCs w:val="36"/>
          <w:shd w:val="clear" w:color="auto" w:fill="ffffff"/>
          <w:rtl w:val="0"/>
          <w:lang w:val="en-US"/>
        </w:rPr>
        <w:t xml:space="preserve"> and </w:t>
      </w:r>
      <w:r>
        <w:rPr>
          <w:rFonts w:ascii="P22WedgeW00-Italic" w:hAnsi="P22WedgeW00-Italic"/>
          <w:sz w:val="36"/>
          <w:szCs w:val="36"/>
          <w:shd w:val="clear" w:color="auto" w:fill="ffffff"/>
          <w:rtl w:val="0"/>
          <w:lang w:val="de-DE"/>
        </w:rPr>
        <w:t xml:space="preserve">Uber </w:t>
      </w:r>
      <w:r>
        <w:rPr>
          <w:rFonts w:ascii="P22WedgeW00-Regular" w:hAnsi="P22WedgeW00-Regular"/>
          <w:sz w:val="36"/>
          <w:szCs w:val="36"/>
          <w:shd w:val="clear" w:color="auto" w:fill="ffffff"/>
          <w:rtl w:val="0"/>
          <w:lang w:val="en-US"/>
        </w:rPr>
        <w:t>are both available in this area.</w:t>
      </w:r>
    </w:p>
    <w:p>
      <w:pPr>
        <w:pStyle w:val="Default"/>
        <w:bidi w:val="0"/>
        <w:ind w:left="0" w:right="0" w:firstLine="0"/>
        <w:jc w:val="left"/>
        <w:rPr>
          <w:rFonts w:ascii="P22WedgeW00-Bold" w:cs="P22WedgeW00-Bold" w:hAnsi="P22WedgeW00-Bold" w:eastAsia="P22WedgeW00-Bold"/>
          <w:sz w:val="36"/>
          <w:szCs w:val="36"/>
          <w:shd w:val="clear" w:color="auto" w:fill="ffffff"/>
          <w:rtl w:val="0"/>
        </w:rPr>
      </w:pP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r>
        <w:rPr>
          <w:rFonts w:ascii="P22WedgeW00-Regular" w:hAnsi="P22WedgeW00-Regular"/>
          <w:sz w:val="36"/>
          <w:szCs w:val="36"/>
          <w:shd w:val="clear" w:color="auto" w:fill="ffffff"/>
          <w:rtl w:val="0"/>
          <w:lang w:val="en-US"/>
        </w:rPr>
        <w:t>The estimated fare for a one-way trip via taxi from TPA to the conference hotel is approximately $70 (including 15% gratuity). The estimated fare for a 0ne-way trip from PIE to the conference hotel is $35 (not including gratuity).</w:t>
      </w:r>
    </w:p>
    <w:p>
      <w:pPr>
        <w:pStyle w:val="Default"/>
        <w:bidi w:val="0"/>
        <w:ind w:left="0" w:right="0" w:firstLine="0"/>
        <w:jc w:val="left"/>
        <w:rPr>
          <w:rFonts w:ascii="P22WedgeW00-Bold" w:cs="P22WedgeW00-Bold" w:hAnsi="P22WedgeW00-Bold" w:eastAsia="P22WedgeW00-Bold"/>
          <w:sz w:val="36"/>
          <w:szCs w:val="36"/>
          <w:shd w:val="clear" w:color="auto" w:fill="ffffff"/>
          <w:rtl w:val="0"/>
        </w:rPr>
      </w:pPr>
    </w:p>
    <w:p>
      <w:pPr>
        <w:pStyle w:val="Default"/>
        <w:bidi w:val="0"/>
        <w:ind w:left="0" w:right="0" w:firstLine="0"/>
        <w:jc w:val="left"/>
        <w:rPr>
          <w:rFonts w:ascii="P22WedgeW00-Bold" w:cs="P22WedgeW00-Bold" w:hAnsi="P22WedgeW00-Bold" w:eastAsia="P22WedgeW00-Bold"/>
          <w:sz w:val="36"/>
          <w:szCs w:val="36"/>
          <w:shd w:val="clear" w:color="auto" w:fill="ffffff"/>
          <w:rtl w:val="0"/>
        </w:rPr>
      </w:pPr>
      <w:r>
        <w:rPr>
          <w:rFonts w:ascii="P22WedgeW00-Bold" w:hAnsi="P22WedgeW00-Bold"/>
          <w:sz w:val="36"/>
          <w:szCs w:val="36"/>
          <w:shd w:val="clear" w:color="auto" w:fill="ffffff"/>
          <w:rtl w:val="0"/>
          <w:lang w:val="en-US"/>
        </w:rPr>
        <w:t>Sheraton Sand Key Resort:</w:t>
      </w:r>
    </w:p>
    <w:p>
      <w:pPr>
        <w:pStyle w:val="Default"/>
        <w:numPr>
          <w:ilvl w:val="0"/>
          <w:numId w:val="1"/>
        </w:numPr>
        <w:bidi w:val="0"/>
        <w:ind w:right="0"/>
        <w:jc w:val="left"/>
        <w:rPr>
          <w:rFonts w:ascii="P22WedgeW00-Regular" w:hAnsi="P22WedgeW00-Regular"/>
          <w:sz w:val="36"/>
          <w:szCs w:val="36"/>
          <w:rtl w:val="0"/>
          <w:lang w:val="en-US"/>
        </w:rPr>
      </w:pPr>
      <w:r>
        <w:rPr>
          <w:rFonts w:ascii="P22WedgeW00-Italic" w:hAnsi="P22WedgeW00-Italic"/>
          <w:sz w:val="36"/>
          <w:szCs w:val="36"/>
          <w:shd w:val="clear" w:color="auto" w:fill="ffffff"/>
          <w:rtl w:val="0"/>
          <w:lang w:val="en-US"/>
        </w:rPr>
        <w:t>Hotel rooms:</w:t>
      </w:r>
      <w:r>
        <w:rPr>
          <w:rFonts w:ascii="P22WedgeW00-Regular" w:hAnsi="P22WedgeW00-Regular"/>
          <w:sz w:val="36"/>
          <w:szCs w:val="36"/>
          <w:shd w:val="clear" w:color="auto" w:fill="ffffff"/>
          <w:rtl w:val="0"/>
          <w:lang w:val="en-US"/>
        </w:rPr>
        <w:t xml:space="preserve"> There are accessible rooms with the following features:</w:t>
      </w:r>
    </w:p>
    <w:p>
      <w:pPr>
        <w:pStyle w:val="Default"/>
        <w:numPr>
          <w:ilvl w:val="1"/>
          <w:numId w:val="1"/>
        </w:numPr>
        <w:bidi w:val="0"/>
        <w:ind w:right="0"/>
        <w:jc w:val="left"/>
        <w:rPr>
          <w:rFonts w:ascii="P22WedgeW00-Regular" w:hAnsi="P22WedgeW00-Regular"/>
          <w:sz w:val="36"/>
          <w:szCs w:val="36"/>
          <w:rtl w:val="0"/>
          <w:lang w:val="en-US"/>
        </w:rPr>
      </w:pPr>
      <w:r>
        <w:rPr>
          <w:rFonts w:ascii="P22WedgeW00-Regular" w:hAnsi="P22WedgeW00-Regular"/>
          <w:sz w:val="36"/>
          <w:szCs w:val="36"/>
          <w:shd w:val="clear" w:color="auto" w:fill="ffffff"/>
          <w:rtl w:val="0"/>
          <w:lang w:val="en-US"/>
        </w:rPr>
        <w:t xml:space="preserve"> Roll-in shower or bathtub with grab bars</w:t>
      </w:r>
    </w:p>
    <w:p>
      <w:pPr>
        <w:pStyle w:val="Default"/>
        <w:numPr>
          <w:ilvl w:val="1"/>
          <w:numId w:val="1"/>
        </w:numPr>
        <w:bidi w:val="0"/>
        <w:ind w:right="0"/>
        <w:jc w:val="left"/>
        <w:rPr>
          <w:rFonts w:ascii="P22WedgeW00-Regular" w:hAnsi="P22WedgeW00-Regular"/>
          <w:sz w:val="36"/>
          <w:szCs w:val="36"/>
          <w:rtl w:val="0"/>
          <w:lang w:val="en-US"/>
        </w:rPr>
      </w:pPr>
      <w:r>
        <w:rPr>
          <w:rFonts w:ascii="P22WedgeW00-Regular" w:hAnsi="P22WedgeW00-Regular"/>
          <w:sz w:val="36"/>
          <w:szCs w:val="36"/>
          <w:shd w:val="clear" w:color="auto" w:fill="ffffff"/>
          <w:rtl w:val="0"/>
          <w:lang w:val="en-US"/>
        </w:rPr>
        <w:t xml:space="preserve"> Portable tub seats</w:t>
      </w:r>
    </w:p>
    <w:p>
      <w:pPr>
        <w:pStyle w:val="Default"/>
        <w:numPr>
          <w:ilvl w:val="1"/>
          <w:numId w:val="1"/>
        </w:numPr>
        <w:bidi w:val="0"/>
        <w:ind w:right="0"/>
        <w:jc w:val="left"/>
        <w:rPr>
          <w:rFonts w:ascii="P22WedgeW00-Regular" w:hAnsi="P22WedgeW00-Regular"/>
          <w:sz w:val="36"/>
          <w:szCs w:val="36"/>
          <w:rtl w:val="0"/>
          <w:lang w:val="en-US"/>
        </w:rPr>
      </w:pPr>
      <w:r>
        <w:rPr>
          <w:rFonts w:ascii="P22WedgeW00-Regular" w:hAnsi="P22WedgeW00-Regular"/>
          <w:sz w:val="36"/>
          <w:szCs w:val="36"/>
          <w:shd w:val="clear" w:color="auto" w:fill="ffffff"/>
          <w:rtl w:val="0"/>
          <w:lang w:val="en-US"/>
        </w:rPr>
        <w:t xml:space="preserve"> Portable communications kits containing visual alarms &amp; notification devices</w:t>
      </w:r>
    </w:p>
    <w:p>
      <w:pPr>
        <w:pStyle w:val="Default"/>
        <w:numPr>
          <w:ilvl w:val="1"/>
          <w:numId w:val="1"/>
        </w:numPr>
        <w:bidi w:val="0"/>
        <w:ind w:right="0"/>
        <w:jc w:val="left"/>
        <w:rPr>
          <w:rFonts w:ascii="P22WedgeW00-Regular" w:hAnsi="P22WedgeW00-Regular"/>
          <w:sz w:val="36"/>
          <w:szCs w:val="36"/>
          <w:rtl w:val="0"/>
          <w:lang w:val="en-US"/>
        </w:rPr>
      </w:pPr>
      <w:r>
        <w:rPr>
          <w:rFonts w:ascii="P22WedgeW00-Regular" w:hAnsi="P22WedgeW00-Regular"/>
          <w:sz w:val="36"/>
          <w:szCs w:val="36"/>
          <w:shd w:val="clear" w:color="auto" w:fill="ffffff"/>
          <w:rtl w:val="0"/>
          <w:lang w:val="en-US"/>
        </w:rPr>
        <w:t xml:space="preserve"> Mobility-accessible doors with at least 32 inches of clear door width</w:t>
      </w:r>
    </w:p>
    <w:p>
      <w:pPr>
        <w:pStyle w:val="Default"/>
        <w:numPr>
          <w:ilvl w:val="1"/>
          <w:numId w:val="1"/>
        </w:numPr>
        <w:bidi w:val="0"/>
        <w:ind w:right="0"/>
        <w:jc w:val="left"/>
        <w:rPr>
          <w:rFonts w:ascii="P22WedgeW00-Regular" w:hAnsi="P22WedgeW00-Regular"/>
          <w:sz w:val="36"/>
          <w:szCs w:val="36"/>
          <w:rtl w:val="0"/>
          <w:lang w:val="de-DE"/>
        </w:rPr>
      </w:pPr>
      <w:r>
        <w:rPr>
          <w:rFonts w:ascii="P22WedgeW00-Regular" w:hAnsi="P22WedgeW00-Regular"/>
          <w:sz w:val="36"/>
          <w:szCs w:val="36"/>
          <w:shd w:val="clear" w:color="auto" w:fill="ffffff"/>
          <w:rtl w:val="0"/>
          <w:lang w:val="de-DE"/>
        </w:rPr>
        <w:t xml:space="preserve"> TTY (Text Telephone Device)</w:t>
      </w:r>
    </w:p>
    <w:p>
      <w:pPr>
        <w:pStyle w:val="Default"/>
        <w:numPr>
          <w:ilvl w:val="1"/>
          <w:numId w:val="1"/>
        </w:numPr>
        <w:bidi w:val="0"/>
        <w:ind w:right="0"/>
        <w:jc w:val="left"/>
        <w:rPr>
          <w:rFonts w:ascii="P22WedgeW00-Regular" w:hAnsi="P22WedgeW00-Regular"/>
          <w:sz w:val="36"/>
          <w:szCs w:val="36"/>
          <w:rtl w:val="0"/>
          <w:lang w:val="en-US"/>
        </w:rPr>
      </w:pPr>
      <w:r>
        <w:rPr>
          <w:rFonts w:ascii="P22WedgeW00-Regular" w:hAnsi="P22WedgeW00-Regular"/>
          <w:sz w:val="36"/>
          <w:szCs w:val="36"/>
          <w:shd w:val="clear" w:color="auto" w:fill="ffffff"/>
          <w:rtl w:val="0"/>
          <w:lang w:val="en-US"/>
        </w:rPr>
        <w:t xml:space="preserve"> Televisions with closed captioning</w:t>
      </w: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p>
    <w:p>
      <w:pPr>
        <w:pStyle w:val="Default"/>
        <w:numPr>
          <w:ilvl w:val="0"/>
          <w:numId w:val="2"/>
        </w:numPr>
        <w:bidi w:val="0"/>
        <w:ind w:right="0"/>
        <w:jc w:val="left"/>
        <w:rPr>
          <w:rFonts w:ascii="P22WedgeW00-Italic" w:hAnsi="P22WedgeW00-Italic"/>
          <w:sz w:val="36"/>
          <w:szCs w:val="36"/>
          <w:rtl w:val="0"/>
          <w:lang w:val="en-US"/>
        </w:rPr>
      </w:pPr>
      <w:r>
        <w:rPr>
          <w:rFonts w:ascii="P22WedgeW00-Italic" w:hAnsi="P22WedgeW00-Italic"/>
          <w:sz w:val="36"/>
          <w:szCs w:val="36"/>
          <w:shd w:val="clear" w:color="auto" w:fill="ffffff"/>
          <w:rtl w:val="0"/>
          <w:lang w:val="en-US"/>
        </w:rPr>
        <w:t>Bathrooms:</w:t>
      </w:r>
    </w:p>
    <w:p>
      <w:pPr>
        <w:pStyle w:val="Default"/>
        <w:bidi w:val="0"/>
        <w:ind w:left="360" w:right="0" w:firstLine="0"/>
        <w:jc w:val="left"/>
        <w:rPr>
          <w:rFonts w:ascii="P22WedgeW00-Italic" w:cs="P22WedgeW00-Italic" w:hAnsi="P22WedgeW00-Italic" w:eastAsia="P22WedgeW00-Italic"/>
          <w:sz w:val="36"/>
          <w:szCs w:val="36"/>
          <w:shd w:val="clear" w:color="auto" w:fill="ffffff"/>
          <w:rtl w:val="0"/>
        </w:rPr>
      </w:pPr>
      <w:r>
        <w:rPr>
          <w:rFonts w:ascii="P22WedgeW00-Italic" w:hAnsi="P22WedgeW00-Italic"/>
          <w:sz w:val="36"/>
          <w:szCs w:val="36"/>
          <w:shd w:val="clear" w:color="auto" w:fill="ffffff"/>
          <w:rtl w:val="0"/>
          <w:lang w:val="en-US"/>
        </w:rPr>
        <w:t xml:space="preserve">Wheelchair-accessible and gender-neutral bathrooms will be available. </w:t>
      </w:r>
    </w:p>
    <w:p>
      <w:pPr>
        <w:pStyle w:val="Default"/>
        <w:bidi w:val="0"/>
        <w:ind w:left="0" w:right="0" w:firstLine="0"/>
        <w:jc w:val="left"/>
        <w:rPr>
          <w:rFonts w:ascii="P22WedgeW00-Italic" w:cs="P22WedgeW00-Italic" w:hAnsi="P22WedgeW00-Italic" w:eastAsia="P22WedgeW00-Italic"/>
          <w:sz w:val="36"/>
          <w:szCs w:val="36"/>
          <w:shd w:val="clear" w:color="auto" w:fill="ffffff"/>
          <w:rtl w:val="0"/>
        </w:rPr>
      </w:pPr>
    </w:p>
    <w:p>
      <w:pPr>
        <w:pStyle w:val="Default"/>
        <w:numPr>
          <w:ilvl w:val="0"/>
          <w:numId w:val="2"/>
        </w:numPr>
        <w:bidi w:val="0"/>
        <w:ind w:right="0"/>
        <w:jc w:val="left"/>
        <w:rPr>
          <w:rFonts w:ascii="P22WedgeW00-Italic" w:hAnsi="P22WedgeW00-Italic"/>
          <w:sz w:val="36"/>
          <w:szCs w:val="36"/>
          <w:rtl w:val="0"/>
          <w:lang w:val="en-US"/>
        </w:rPr>
      </w:pPr>
      <w:r>
        <w:rPr>
          <w:rFonts w:ascii="P22WedgeW00-Italic" w:hAnsi="P22WedgeW00-Italic"/>
          <w:sz w:val="36"/>
          <w:szCs w:val="36"/>
          <w:shd w:val="clear" w:color="auto" w:fill="ffffff"/>
          <w:rtl w:val="0"/>
          <w:lang w:val="en-US"/>
        </w:rPr>
        <w:t xml:space="preserve">Hotel restaurants: </w:t>
      </w:r>
    </w:p>
    <w:p>
      <w:pPr>
        <w:pStyle w:val="Default"/>
        <w:bidi w:val="0"/>
        <w:ind w:left="360" w:right="0" w:firstLine="0"/>
        <w:jc w:val="left"/>
        <w:rPr>
          <w:rFonts w:ascii="P22WedgeW00-Regular" w:cs="P22WedgeW00-Regular" w:hAnsi="P22WedgeW00-Regular" w:eastAsia="P22WedgeW00-Regular"/>
          <w:sz w:val="36"/>
          <w:szCs w:val="36"/>
          <w:u w:val="single"/>
          <w:shd w:val="clear" w:color="auto" w:fill="ffffff"/>
          <w:rtl w:val="0"/>
        </w:rPr>
      </w:pPr>
      <w:r>
        <w:rPr>
          <w:rFonts w:ascii="P22WedgeW00-Regular" w:hAnsi="P22WedgeW00-Regular"/>
          <w:sz w:val="36"/>
          <w:szCs w:val="36"/>
          <w:shd w:val="clear" w:color="auto" w:fill="ffffff"/>
          <w:rtl w:val="0"/>
          <w:lang w:val="en-US"/>
        </w:rPr>
        <w:t>There are three restaurants in the hotel as well as a poolside caf</w:t>
      </w:r>
      <w:r>
        <w:rPr>
          <w:rFonts w:ascii="P22WedgeW00-Regular" w:hAnsi="P22WedgeW00-Regular" w:hint="default"/>
          <w:sz w:val="36"/>
          <w:szCs w:val="36"/>
          <w:shd w:val="clear" w:color="auto" w:fill="ffffff"/>
          <w:rtl w:val="0"/>
          <w:lang w:val="fr-FR"/>
        </w:rPr>
        <w:t xml:space="preserve">é </w:t>
      </w:r>
      <w:r>
        <w:rPr>
          <w:rFonts w:ascii="P22WedgeW00-Regular" w:hAnsi="P22WedgeW00-Regular"/>
          <w:sz w:val="36"/>
          <w:szCs w:val="36"/>
          <w:shd w:val="clear" w:color="auto" w:fill="ffffff"/>
          <w:rtl w:val="0"/>
          <w:lang w:val="en-US"/>
        </w:rPr>
        <w:t xml:space="preserve">and bar. Here is a link to the page that describes these options: </w:t>
      </w:r>
      <w:r>
        <w:rPr>
          <w:rFonts w:ascii="P22WedgeW00-Italic" w:hAnsi="P22WedgeW00-Italic"/>
          <w:sz w:val="36"/>
          <w:szCs w:val="36"/>
          <w:u w:val="single"/>
          <w:shd w:val="clear" w:color="auto" w:fill="ffffff"/>
          <w:rtl w:val="0"/>
          <w:lang w:val="en-US"/>
        </w:rPr>
        <w:t>https://www.sheratonsandkey.com/dining/</w:t>
      </w:r>
    </w:p>
    <w:p>
      <w:pPr>
        <w:pStyle w:val="Default"/>
        <w:bidi w:val="0"/>
        <w:ind w:left="360" w:right="0" w:firstLine="0"/>
        <w:jc w:val="left"/>
        <w:rPr>
          <w:rFonts w:ascii="P22WedgeW00-Regular" w:cs="P22WedgeW00-Regular" w:hAnsi="P22WedgeW00-Regular" w:eastAsia="P22WedgeW00-Regular"/>
          <w:sz w:val="36"/>
          <w:szCs w:val="36"/>
          <w:shd w:val="clear" w:color="auto" w:fill="ffffff"/>
          <w:rtl w:val="0"/>
        </w:rPr>
      </w:pPr>
      <w:r>
        <w:rPr>
          <w:rFonts w:ascii="P22WedgeW00-Regular" w:hAnsi="P22WedgeW00-Regular"/>
          <w:sz w:val="36"/>
          <w:szCs w:val="36"/>
          <w:shd w:val="clear" w:color="auto" w:fill="ffffff"/>
          <w:rtl w:val="0"/>
          <w:lang w:val="en-US"/>
        </w:rPr>
        <w:t xml:space="preserve">The Island Grille, which offers sandwiches, salads, and soup, is the least expensive of the hotel restaurants. </w:t>
      </w:r>
    </w:p>
    <w:p>
      <w:pPr>
        <w:pStyle w:val="Default"/>
        <w:bidi w:val="0"/>
        <w:ind w:left="0" w:right="0" w:firstLine="0"/>
        <w:jc w:val="left"/>
        <w:rPr>
          <w:rFonts w:ascii="P22WedgeW00-Bold" w:cs="P22WedgeW00-Bold" w:hAnsi="P22WedgeW00-Bold" w:eastAsia="P22WedgeW00-Bold"/>
          <w:sz w:val="36"/>
          <w:szCs w:val="36"/>
          <w:shd w:val="clear" w:color="auto" w:fill="ffffff"/>
          <w:rtl w:val="0"/>
        </w:rPr>
      </w:pPr>
    </w:p>
    <w:p>
      <w:pPr>
        <w:pStyle w:val="Default"/>
        <w:bidi w:val="0"/>
        <w:ind w:left="0" w:right="0" w:firstLine="0"/>
        <w:jc w:val="left"/>
        <w:rPr>
          <w:rFonts w:ascii="P22WedgeW00-Bold" w:cs="P22WedgeW00-Bold" w:hAnsi="P22WedgeW00-Bold" w:eastAsia="P22WedgeW00-Bold"/>
          <w:sz w:val="36"/>
          <w:szCs w:val="36"/>
          <w:shd w:val="clear" w:color="auto" w:fill="ffffff"/>
          <w:rtl w:val="0"/>
        </w:rPr>
      </w:pPr>
      <w:r>
        <w:rPr>
          <w:rFonts w:ascii="P22WedgeW00-Bold" w:hAnsi="P22WedgeW00-Bold"/>
          <w:sz w:val="36"/>
          <w:szCs w:val="36"/>
          <w:shd w:val="clear" w:color="auto" w:fill="ffffff"/>
          <w:rtl w:val="0"/>
          <w:lang w:val="en-US"/>
        </w:rPr>
        <w:t>Conference rooms/presentations:</w:t>
      </w: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r>
        <w:rPr>
          <w:rFonts w:ascii="P22WedgeW00-Italic" w:hAnsi="P22WedgeW00-Italic"/>
          <w:sz w:val="36"/>
          <w:szCs w:val="36"/>
          <w:shd w:val="clear" w:color="auto" w:fill="ffffff"/>
          <w:rtl w:val="0"/>
          <w:lang w:val="en-US"/>
        </w:rPr>
        <w:t>Lighting</w:t>
      </w:r>
      <w:r>
        <w:rPr>
          <w:rFonts w:ascii="P22WedgeW00-Regular" w:hAnsi="P22WedgeW00-Regular"/>
          <w:sz w:val="36"/>
          <w:szCs w:val="36"/>
          <w:shd w:val="clear" w:color="auto" w:fill="ffffff"/>
          <w:rtl w:val="0"/>
          <w:lang w:val="en-US"/>
        </w:rPr>
        <w:t xml:space="preserve">: There will not be incandescent lights in the conference rooms where sessions will be held. We will also have lamps with LED bulbs. It is important that the lighting is not altered suddenly (light switches being turned on or off) because this creates an unsafe environment for some conference participants.  </w:t>
      </w: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r>
        <w:rPr>
          <w:rFonts w:ascii="P22WedgeW00-Italic" w:hAnsi="P22WedgeW00-Italic"/>
          <w:sz w:val="36"/>
          <w:szCs w:val="36"/>
          <w:shd w:val="clear" w:color="auto" w:fill="ffffff"/>
          <w:rtl w:val="0"/>
          <w:lang w:val="en-US"/>
        </w:rPr>
        <w:t>PowerPoints</w:t>
      </w:r>
      <w:r>
        <w:rPr>
          <w:rFonts w:ascii="P22WedgeW00-Regular" w:hAnsi="P22WedgeW00-Regular"/>
          <w:sz w:val="36"/>
          <w:szCs w:val="36"/>
          <w:shd w:val="clear" w:color="auto" w:fill="ffffff"/>
          <w:rtl w:val="0"/>
          <w:lang w:val="en-US"/>
        </w:rPr>
        <w:t>: Since projection makes presentations inaccessible for some conference participants, we have decided that we will not use PowerPoint or other means of presentation that require projection. In many cases, printed handouts work just as well to convey main points.</w:t>
      </w: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r>
        <w:rPr>
          <w:rFonts w:ascii="P22WedgeW00-Italic" w:hAnsi="P22WedgeW00-Italic"/>
          <w:sz w:val="36"/>
          <w:szCs w:val="36"/>
          <w:shd w:val="clear" w:color="auto" w:fill="ffffff"/>
          <w:rtl w:val="0"/>
          <w:lang w:val="en-US"/>
        </w:rPr>
        <w:t>Papers</w:t>
      </w:r>
      <w:r>
        <w:rPr>
          <w:rFonts w:ascii="P22WedgeW00-Regular" w:hAnsi="P22WedgeW00-Regular"/>
          <w:sz w:val="36"/>
          <w:szCs w:val="36"/>
          <w:shd w:val="clear" w:color="auto" w:fill="ffffff"/>
          <w:rtl w:val="0"/>
          <w:lang w:val="en-US"/>
        </w:rPr>
        <w:t>: Please have printed copies of your paper with 12 point and 18 point font available at the beginning of your presentation so audience members can follow along if this is helpful to them. (In the past, it has been possible to print papers at the hotel. I expect this will be the case this year as well.)</w:t>
      </w:r>
    </w:p>
    <w:p>
      <w:pPr>
        <w:pStyle w:val="Default"/>
        <w:bidi w:val="0"/>
        <w:ind w:left="0" w:right="0" w:firstLine="0"/>
        <w:jc w:val="left"/>
        <w:rPr>
          <w:rFonts w:ascii="P22WedgeW00-Regular" w:cs="P22WedgeW00-Regular" w:hAnsi="P22WedgeW00-Regular" w:eastAsia="P22WedgeW00-Regular"/>
          <w:sz w:val="36"/>
          <w:szCs w:val="36"/>
          <w:shd w:val="clear" w:color="auto" w:fill="ffffff"/>
          <w:rtl w:val="0"/>
        </w:rPr>
      </w:pPr>
    </w:p>
    <w:p>
      <w:pPr>
        <w:pStyle w:val="Default"/>
        <w:bidi w:val="0"/>
        <w:ind w:left="0" w:right="0" w:firstLine="0"/>
        <w:jc w:val="left"/>
        <w:rPr>
          <w:rtl w:val="0"/>
        </w:rPr>
      </w:pPr>
      <w:r>
        <w:rPr>
          <w:rFonts w:ascii="P22WedgeW00-Regular" w:hAnsi="P22WedgeW00-Regular"/>
          <w:sz w:val="36"/>
          <w:szCs w:val="36"/>
          <w:shd w:val="clear" w:color="auto" w:fill="ffffff"/>
          <w:rtl w:val="0"/>
          <w:lang w:val="en-US"/>
        </w:rPr>
        <w:t xml:space="preserve">If you have any questions related to accessibility, please contact Christine Wieseler at </w:t>
      </w:r>
      <w:r>
        <w:rPr>
          <w:rFonts w:ascii="P22WedgeW00-Italic" w:hAnsi="P22WedgeW00-Italic"/>
          <w:sz w:val="36"/>
          <w:szCs w:val="36"/>
          <w:u w:val="single"/>
          <w:shd w:val="clear" w:color="auto" w:fill="ffffff"/>
          <w:rtl w:val="0"/>
          <w:lang w:val="de-DE"/>
        </w:rPr>
        <w:t>cwiesele@skidmore.edu</w:t>
      </w:r>
      <w:r>
        <w:rPr>
          <w:rFonts w:ascii="P22WedgeW00-Regular" w:hAnsi="P22WedgeW00-Regular"/>
          <w:sz w:val="36"/>
          <w:szCs w:val="36"/>
          <w:shd w:val="clear" w:color="auto" w:fill="ffffff"/>
          <w:rtl w:val="0"/>
          <w:lang w:val="en-US"/>
        </w:rPr>
        <w:t>. You may also direct questions about accessibility to the hotel at 1-727-595-1611.</w:t>
      </w:r>
    </w:p>
    <w:sectPr>
      <w:headerReference w:type="default" r:id="rId4"/>
      <w:footerReference w:type="default" r:id="rId5"/>
      <w:pgSz w:w="12240" w:h="15840" w:orient="portrait"/>
      <w:pgMar w:top="1080" w:right="1080" w:bottom="1080" w:left="1080" w:header="72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22WedgeW00-Bold">
    <w:charset w:val="00"/>
    <w:family w:val="roman"/>
    <w:pitch w:val="default"/>
  </w:font>
  <w:font w:name="P22WedgeW00-Italic">
    <w:charset w:val="00"/>
    <w:family w:val="roman"/>
    <w:pitch w:val="default"/>
  </w:font>
  <w:font w:name="P22WedgeW00-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rPr>
        <w:rFonts w:ascii="P22WedgeW00-Bold" w:hAnsi="P22WedgeW00-Bold"/>
        <w:sz w:val="20"/>
        <w:szCs w:val="20"/>
      </w:rPr>
      <w:tab/>
    </w:r>
    <w:r>
      <w:rPr>
        <w:rFonts w:ascii="P22WedgeW00-Bold" w:hAnsi="P22WedgeW00-Bold"/>
        <w:sz w:val="20"/>
        <w:szCs w:val="20"/>
      </w:rPr>
      <w:fldChar w:fldCharType="begin" w:fldLock="0"/>
    </w:r>
    <w:r>
      <w:rPr>
        <w:rFonts w:ascii="P22WedgeW00-Bold" w:hAnsi="P22WedgeW00-Bold"/>
        <w:sz w:val="20"/>
        <w:szCs w:val="20"/>
      </w:rPr>
      <w:instrText xml:space="preserve"> PAGE </w:instrText>
    </w:r>
    <w:r>
      <w:rPr>
        <w:rFonts w:ascii="P22WedgeW00-Bold" w:hAnsi="P22WedgeW00-Bold"/>
        <w:sz w:val="20"/>
        <w:szCs w:val="20"/>
      </w:rPr>
      <w:fldChar w:fldCharType="separate" w:fldLock="0"/>
    </w:r>
    <w:r>
      <w:rPr>
        <w:rFonts w:ascii="P22WedgeW00-Bold" w:hAnsi="P22WedgeW00-Bold"/>
        <w:sz w:val="20"/>
        <w:szCs w:val="20"/>
      </w:rPr>
      <w:t>1</w:t>
    </w:r>
    <w:r>
      <w:rPr>
        <w:rFonts w:ascii="P22WedgeW00-Bold" w:hAnsi="P22WedgeW00-Bold"/>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3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9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507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6251"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42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60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78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